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:rsidRPr="005A2F5B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Pr="005A2F5B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Charakteristika predkladaného výstupu tvorivej činnosti / </w:t>
            </w:r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br/>
            </w:r>
            <w:proofErr w:type="spellStart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Characteristics</w:t>
            </w:r>
            <w:proofErr w:type="spellEnd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submitted</w:t>
            </w:r>
            <w:proofErr w:type="spellEnd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research</w:t>
            </w:r>
            <w:proofErr w:type="spellEnd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/ </w:t>
            </w:r>
            <w:proofErr w:type="spellStart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artistic</w:t>
            </w:r>
            <w:proofErr w:type="spellEnd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>other</w:t>
            </w:r>
            <w:proofErr w:type="spellEnd"/>
            <w:r w:rsidRPr="005A2F5B"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  <w:t xml:space="preserve"> output</w:t>
            </w:r>
          </w:p>
        </w:tc>
      </w:tr>
      <w:tr w:rsidR="00500888" w:rsidRPr="005A2F5B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Pr="005A2F5B" w:rsidRDefault="00500888" w:rsidP="00862380">
            <w:pPr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Pr="005A2F5B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500888" w:rsidRPr="005A2F5B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00888" w:rsidRPr="005A2F5B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Pr="005A2F5B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00888" w:rsidRPr="005A2F5B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Pr="005A2F5B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Pr="005A2F5B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:rsidRPr="005A2F5B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00888" w:rsidRPr="005A2F5B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Pr="005A2F5B" w:rsidRDefault="00DF049B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 w:rsidRPr="005A2F5B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 w:rsidRPr="005A2F5B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 w:rsidRPr="005A2F5B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Pr="005A2F5B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00888" w:rsidRPr="005A2F5B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Pr="005A2F5B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Pr="005A2F5B"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 w:rsidRPr="005A2F5B">
              <w:rPr>
                <w:rFonts w:ascii="Calibri" w:hAnsi="Calibri" w:cs="Calibri"/>
                <w:sz w:val="16"/>
                <w:szCs w:val="16"/>
              </w:rPr>
            </w:r>
            <w:r w:rsidRPr="005A2F5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5A2F5B"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 w:rsidRPr="005A2F5B"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 w:rsidRPr="005A2F5B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Pr="005A2F5B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00888" w:rsidRPr="005A2F5B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Pr="005A2F5B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Pr="005A2F5B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8E4FFE6" w:rsidR="00BC003C" w:rsidRPr="005A2F5B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A2F5B">
              <w:rPr>
                <w:rFonts w:ascii="Calibri" w:hAnsi="Calibri" w:cs="Calibr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Božik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42FC3A58" w:rsidR="00BC003C" w:rsidRPr="005A2F5B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A2F5B">
              <w:rPr>
                <w:rFonts w:ascii="Calibri" w:hAnsi="Calibri" w:cs="Calibr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Jozef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4265924" w:rsidR="00BC003C" w:rsidRPr="005A2F5B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doc. PaedDr., PhD.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7ECCD06D" w:rsidR="00BC003C" w:rsidRPr="005A2F5B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Style w:val="Hyperlink0"/>
                <w:rFonts w:ascii="Calibri" w:hAnsi="Calibri" w:cs="Calibri"/>
                <w:sz w:val="16"/>
                <w:szCs w:val="16"/>
              </w:rPr>
              <w:t>https://www.portalvs.sk/regzam/detail/12414?mode=full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Pr="005A2F5B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A2F5B">
              <w:rPr>
                <w:rFonts w:ascii="Calibri" w:eastAsia="Arial Unicode MS" w:hAnsi="Calibri" w:cs="Calibr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 w:rsidRPr="005A2F5B">
              <w:rPr>
                <w:rFonts w:ascii="Calibri" w:eastAsia="Arial Unicode MS" w:hAnsi="Calibri" w:cs="Calibr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5A2F5B">
              <w:rPr>
                <w:rFonts w:ascii="Calibri" w:eastAsia="Arial Unicode MS" w:hAnsi="Calibri" w:cs="Calibr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 w:rsidRPr="005A2F5B">
              <w:rPr>
                <w:rFonts w:ascii="Calibri" w:eastAsia="Arial Unicode MS" w:hAnsi="Calibri" w:cs="Calibr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5A2F5B">
              <w:rPr>
                <w:rFonts w:ascii="Calibri" w:eastAsia="Arial Unicode MS" w:hAnsi="Calibri" w:cs="Calibr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 w:rsidRPr="005A2F5B">
              <w:rPr>
                <w:rFonts w:ascii="Calibri" w:eastAsia="Arial Unicode MS" w:hAnsi="Calibri" w:cs="Calibr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5A2F5B">
              <w:rPr>
                <w:rFonts w:ascii="Calibri" w:eastAsia="Arial Unicode MS" w:hAnsi="Calibri" w:cs="Calibri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5A2F5B" w:rsidRDefault="00BC003C" w:rsidP="00BC003C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Pr="005A2F5B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654E22F9" w:rsidR="00BC003C" w:rsidRPr="005A2F5B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>202</w:t>
            </w:r>
            <w:r w:rsidR="00E81F99" w:rsidRPr="005A2F5B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 w:rsidRPr="005A2F5B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0991ED25" w:rsidR="00BC003C" w:rsidRPr="005A2F5B" w:rsidRDefault="003936B2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>445077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 w:rsidRPr="005A2F5B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0DDCC2BF" w:rsidR="00BC003C" w:rsidRPr="005A2F5B" w:rsidRDefault="00DF049B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DF049B">
              <w:rPr>
                <w:rFonts w:ascii="Calibri" w:hAnsi="Calibri" w:cs="Calibri"/>
                <w:sz w:val="16"/>
                <w:szCs w:val="16"/>
              </w:rPr>
              <w:t>https://app.crepc.sk/?fn=detailBiblioFormChildE6062&amp;sid=C3F23FE9D9ACD95BFD430DB5F0&amp;seo=CREP%C4%8C-detail-%C4%8Cl%C3%A1nok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003C" w:rsidRPr="005A2F5B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Pr="005A2F5B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17B891BB" w14:textId="39D913AA" w:rsidR="00BC003C" w:rsidRPr="005A2F5B" w:rsidRDefault="005F6959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  <w:lang w:val="nl-NL"/>
              </w:rPr>
              <w:t>OCA10. Hyperlink na z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áznam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v inom verejne prístupnom registri,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katal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  <w:lang w:val="es-ES_tradnl"/>
              </w:rPr>
              <w:t>ó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gu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výstupov tvorivý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  <w:lang w:val="de-DE"/>
              </w:rPr>
              <w:t>ch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r w:rsidRPr="005A2F5B">
              <w:rPr>
                <w:rFonts w:ascii="Calibri" w:hAnsi="Calibri" w:cs="Calibri"/>
                <w:sz w:val="16"/>
                <w:szCs w:val="16"/>
              </w:rPr>
              <w:t xml:space="preserve">činností </w:t>
            </w:r>
            <w:r w:rsidRPr="005A2F5B">
              <w:rPr>
                <w:rFonts w:ascii="Calibri" w:hAnsi="Calibri" w:cs="Calibri"/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 w:rsidRPr="005A2F5B">
              <w:rPr>
                <w:rFonts w:ascii="Calibri" w:hAnsi="Calibri" w:cs="Calibri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B3BCF33" w:rsidR="00BC003C" w:rsidRPr="005A2F5B" w:rsidRDefault="0033142E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>https://www.lekarsky.herba.sk/index.php/2021/298-lekarsky-obzor-12-2021/1190-unexpected-low-mortality-on-covid-19-in-homeless-during-spring-wave-2021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Pr="005A2F5B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6BCF4A6B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 xml:space="preserve">OCA11. Charakteristika výstupu vo formáte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bibliografick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  <w:lang w:val="fr-FR"/>
              </w:rPr>
              <w:t>é</w:t>
            </w:r>
            <w:r w:rsidRPr="005A2F5B">
              <w:rPr>
                <w:rFonts w:ascii="Calibri" w:hAnsi="Calibri" w:cs="Calibri"/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katal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  <w:lang w:val="es-ES_tradnl"/>
              </w:rPr>
              <w:t>ó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gu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vý</w:t>
            </w:r>
            <w:r w:rsidRPr="005A2F5B">
              <w:rPr>
                <w:rFonts w:ascii="Calibri" w:hAnsi="Calibri" w:cs="Calibri"/>
                <w:sz w:val="16"/>
                <w:szCs w:val="16"/>
                <w:lang w:val="en-US"/>
              </w:rPr>
              <w:t>stupov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CE336" w14:textId="19E6E585" w:rsidR="00764F4B" w:rsidRPr="005A2F5B" w:rsidRDefault="00B630CA" w:rsidP="00764F4B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Unexpected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low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mortality on COVID-19 in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spring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wave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2021 = Prekvapivo nízka mortalita bezdomovcov na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kovidovú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infekciu počas jarnej vlny 2021 /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Mikloško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Jozef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Hochman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Rastislav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Gombita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Peter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Maszlak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Vladimír [Autor, 4%] ; Krčméry, Vladimír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Czarnecki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Pawel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[Autor, 4%] ; Pavlovičová, Anna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Bošnáková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Monika [Autor, 4%] ; Sládečková, Veronika [Autor, 4%] ; Kováč, Róbert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Ťažiarová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Marta [Autor, 4%] ; Zemko, Pavol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Mátejová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Alena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Drgová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Jaroslava [Autor, 4%] ; Roman, Ladislav [Autor, 4%] ; Roman, Tibor [Autor, 4%] ; Bučko, Ladislav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Vranková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Emília [Autor, 4%] ; Valach, Michal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Magyarová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Gabriela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Božík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Jozef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Bernadič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Michal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Matulník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Jozef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Trilisinska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Iana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 [Autor, 4%] ;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Bujdová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>, Nataša [Autor, 4%]. – SCO In: Lekársky obzor [textový dokument (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print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5A2F5B">
              <w:rPr>
                <w:rFonts w:ascii="Calibri" w:hAnsi="Calibri" w:cs="Calibri"/>
                <w:sz w:val="16"/>
                <w:szCs w:val="16"/>
              </w:rPr>
              <w:t>Herba</w:t>
            </w:r>
            <w:proofErr w:type="spellEnd"/>
            <w:r w:rsidRPr="005A2F5B">
              <w:rPr>
                <w:rFonts w:ascii="Calibri" w:hAnsi="Calibri" w:cs="Calibri"/>
                <w:sz w:val="16"/>
                <w:szCs w:val="16"/>
              </w:rPr>
              <w:t>, Bratislava (Slovensko) : Slovenská zdravotnícka univerzita v Bratislave. – ISSN 0457-4214. – ISSN (zrušené) 0322-9203. – Roč. 70, č. 12 (2021), s. 490-492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73B448D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>OCA12. Typ výstupu (ak nie je výstup registrovaný v CREPČ alebo CREUČ</w:t>
            </w:r>
            <w:r w:rsidRPr="005A2F5B">
              <w:rPr>
                <w:rFonts w:ascii="Calibri" w:hAnsi="Calibri" w:cs="Calibri"/>
                <w:sz w:val="16"/>
                <w:szCs w:val="16"/>
                <w:lang w:val="en-US"/>
              </w:rPr>
              <w:t>) / Type of the output (if the output is not registered in CRPA or CRAA)</w:t>
            </w:r>
            <w:r w:rsidRPr="005A2F5B">
              <w:rPr>
                <w:rFonts w:ascii="Calibri" w:hAnsi="Calibri" w:cs="Calibri"/>
                <w:sz w:val="16"/>
                <w:szCs w:val="16"/>
              </w:rPr>
              <w:br/>
            </w:r>
            <w:proofErr w:type="spellStart"/>
            <w:r w:rsidRPr="005A2F5B">
              <w:rPr>
                <w:rFonts w:ascii="Calibri" w:hAnsi="Calibri" w:cs="Calibri"/>
                <w:i/>
                <w:iCs/>
                <w:sz w:val="16"/>
                <w:szCs w:val="16"/>
              </w:rPr>
              <w:t>Vý</w:t>
            </w:r>
            <w:proofErr w:type="spellEnd"/>
            <w:r w:rsidRPr="005A2F5B">
              <w:rPr>
                <w:rFonts w:ascii="Calibri" w:hAnsi="Calibri" w:cs="Calibri"/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 w:rsidRPr="005A2F5B">
              <w:rPr>
                <w:rFonts w:ascii="Calibri" w:hAnsi="Calibri" w:cs="Calibri"/>
                <w:i/>
                <w:iCs/>
                <w:sz w:val="16"/>
                <w:szCs w:val="16"/>
              </w:rPr>
              <w:t>žností</w:t>
            </w:r>
            <w:proofErr w:type="spellEnd"/>
            <w:r w:rsidRPr="005A2F5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 w:rsidRPr="005A2F5B">
              <w:rPr>
                <w:rFonts w:ascii="Calibri" w:hAnsi="Calibri" w:cs="Calibri"/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 w:rsidRPr="005A2F5B">
              <w:rPr>
                <w:rFonts w:ascii="Calibri" w:hAnsi="Calibri" w:cs="Calibri"/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6C5BBD65" w:rsidR="00764F4B" w:rsidRPr="005A2F5B" w:rsidRDefault="00764F4B" w:rsidP="00764F4B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V3 (AD</w:t>
            </w:r>
            <w:r w:rsidR="00641D5C"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D</w:t>
            </w: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r w:rsidR="00641D5C"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Domáci</w:t>
            </w: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Vedecký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karantovaný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príspevok </w:t>
            </w:r>
          </w:p>
        </w:tc>
        <w:tc>
          <w:tcPr>
            <w:tcW w:w="160" w:type="dxa"/>
            <w:vAlign w:val="center"/>
          </w:tcPr>
          <w:p w14:paraId="7BD76A21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3BE0CD2E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0F2AFCF5" w:rsidR="00764F4B" w:rsidRPr="005A2F5B" w:rsidRDefault="000A0114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  <w:r w:rsidR="00764F4B"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764F4B" w:rsidRPr="005A2F5B" w:rsidRDefault="00DF049B" w:rsidP="00764F4B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764F4B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58B4D" w14:textId="77777777" w:rsidR="00A160F8" w:rsidRPr="005A2F5B" w:rsidRDefault="00A160F8" w:rsidP="00A160F8">
            <w:pPr>
              <w:tabs>
                <w:tab w:val="left" w:pos="2370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>Úvod: Špecifický variant úmrtnosti na vírus COVID-19 sa na všetkých kontinentoch pohybuje medzi 3 a 15 percentami v závislosti od podtypu vírusu a veku, sociálneho a zdravotného stavu postihnutej populácie. Rizikovými skupinami boli seniori po 70. roku života, skupiny s nízkou sociálno-ekonomickou úrovňou, neočkované a skupiny bez prístupu k zdravotnej starostlivosti, starší ľudia a obyvatelia psychiatrických zariadení, bezdomovci a siroty.</w:t>
            </w:r>
          </w:p>
          <w:p w14:paraId="7CBE026E" w14:textId="77777777" w:rsidR="00A160F8" w:rsidRPr="005A2F5B" w:rsidRDefault="00A160F8" w:rsidP="00A160F8">
            <w:pPr>
              <w:tabs>
                <w:tab w:val="left" w:pos="2370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207020BC" w14:textId="77777777" w:rsidR="00A160F8" w:rsidRPr="005A2F5B" w:rsidRDefault="00A160F8" w:rsidP="00A160F8">
            <w:pPr>
              <w:tabs>
                <w:tab w:val="left" w:pos="2370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>Metóda a výsledky: Analyzovali sme tri kohorty 702 bezdomovcov od klientov zo, Slovenska, Poľska, Českej republiky, Ukrajiny, Moldavska, Srbska a zistili sme neočakávane nízku špecifickú úmrtnosť, pravdepodobne v dôsledku izolácie týchto celodenných centier od susedných veľkých miest na ostrovy života a málo sociálnych kontaktov tejto rizikovej populácie počas 2 vlny z dôvodu zatvorenia cirkevných a sociálnych denných centier.</w:t>
            </w:r>
          </w:p>
          <w:p w14:paraId="08A49FFF" w14:textId="77777777" w:rsidR="00A160F8" w:rsidRPr="005A2F5B" w:rsidRDefault="00A160F8" w:rsidP="00A160F8">
            <w:pPr>
              <w:tabs>
                <w:tab w:val="left" w:pos="2370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A2F5B">
              <w:rPr>
                <w:rFonts w:ascii="Calibri" w:hAnsi="Calibri" w:cs="Calibri"/>
                <w:sz w:val="16"/>
                <w:szCs w:val="16"/>
              </w:rPr>
              <w:t>Záver: Záverom možno konštatovať, že model karantény na ostrovoch života podporený očkovaním môže ešte viac znížiť úmrtnosť súvisiacu s COVID-19 v očakávaných zimných alebo jarných vlnách.</w:t>
            </w:r>
          </w:p>
          <w:p w14:paraId="2E9AA8FE" w14:textId="77777777" w:rsidR="00A160F8" w:rsidRPr="005A2F5B" w:rsidRDefault="00A160F8" w:rsidP="00A160F8">
            <w:pPr>
              <w:tabs>
                <w:tab w:val="left" w:pos="2370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5334AAFC" w14:textId="69EA633E" w:rsidR="00764F4B" w:rsidRPr="005A2F5B" w:rsidRDefault="00764F4B" w:rsidP="00A160F8">
            <w:pPr>
              <w:tabs>
                <w:tab w:val="left" w:pos="2370"/>
              </w:tabs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764F4B" w:rsidRPr="005A2F5B" w:rsidRDefault="00DF049B" w:rsidP="00764F4B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764F4B" w:rsidRPr="005A2F5B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764F4B" w:rsidRPr="005A2F5B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764F4B" w:rsidRPr="005A2F5B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EF4BC2" w14:textId="77777777" w:rsidR="004076D1" w:rsidRPr="005A2F5B" w:rsidRDefault="004076D1" w:rsidP="004076D1">
            <w:pPr>
              <w:pStyle w:val="Normlnywebov"/>
              <w:shd w:val="clear" w:color="auto" w:fill="FFFFFF"/>
              <w:spacing w:before="0" w:beforeAutospacing="0" w:after="128" w:afterAutospacing="0"/>
              <w:jc w:val="both"/>
              <w:rPr>
                <w:rFonts w:ascii="Calibri" w:hAnsi="Calibri" w:cs="Calibri"/>
                <w:color w:val="444444"/>
                <w:sz w:val="16"/>
                <w:szCs w:val="16"/>
              </w:rPr>
            </w:pPr>
            <w:proofErr w:type="spellStart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>Introduction</w:t>
            </w:r>
            <w:proofErr w:type="spellEnd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>:</w:t>
            </w:r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 COVID-19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virus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disease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specific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mortality variant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throughout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all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continents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between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3 and 15 percent,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depending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on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virus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subtype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age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social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health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status of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affected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population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.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Groups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at risk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were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seniors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after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70,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low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socioeconomic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groups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unvaccinated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groups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with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no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access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to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health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care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elderly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mental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facilities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residents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homeless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orphan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facilities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.</w:t>
            </w:r>
          </w:p>
          <w:p w14:paraId="413A23E6" w14:textId="77777777" w:rsidR="004076D1" w:rsidRPr="005A2F5B" w:rsidRDefault="004076D1" w:rsidP="004076D1">
            <w:pPr>
              <w:pStyle w:val="Normlnywebov"/>
              <w:shd w:val="clear" w:color="auto" w:fill="FFFFFF"/>
              <w:spacing w:before="0" w:beforeAutospacing="0" w:after="128" w:afterAutospacing="0"/>
              <w:jc w:val="both"/>
              <w:rPr>
                <w:rFonts w:ascii="Calibri" w:hAnsi="Calibri" w:cs="Calibri"/>
                <w:color w:val="444444"/>
                <w:sz w:val="16"/>
                <w:szCs w:val="16"/>
              </w:rPr>
            </w:pPr>
            <w:proofErr w:type="spellStart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>Method</w:t>
            </w:r>
            <w:proofErr w:type="spellEnd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>results</w:t>
            </w:r>
            <w:proofErr w:type="spellEnd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>:</w:t>
            </w:r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 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We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have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analyzed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three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cohorts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of 702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homeless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from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clients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from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Slovakia,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Poland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Czech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republic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Ukraine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Moldova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Serbia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found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unexpectedly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low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specific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mortality,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probably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due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to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isolation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those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full-board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centers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from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neighboring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large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towns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in to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life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islands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few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social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contacts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this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risk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population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during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2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wave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because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church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and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social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daycare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centers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closure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.</w:t>
            </w:r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br/>
            </w:r>
            <w:proofErr w:type="spellStart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>Conclusion</w:t>
            </w:r>
            <w:proofErr w:type="spellEnd"/>
            <w:r w:rsidRPr="005A2F5B">
              <w:rPr>
                <w:rStyle w:val="Vrazn"/>
                <w:rFonts w:ascii="Calibri" w:hAnsi="Calibri" w:cs="Calibri"/>
                <w:color w:val="444444"/>
                <w:sz w:val="16"/>
                <w:szCs w:val="16"/>
              </w:rPr>
              <w:t>:</w:t>
            </w:r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 In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conclusion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,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life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island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quarantine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model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powered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by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vaccination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may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decrease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even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more COVID-19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related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mortality in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expected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winter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or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spring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waves</w:t>
            </w:r>
            <w:proofErr w:type="spellEnd"/>
            <w:r w:rsidRPr="005A2F5B">
              <w:rPr>
                <w:rFonts w:ascii="Calibri" w:hAnsi="Calibri" w:cs="Calibri"/>
                <w:color w:val="444444"/>
                <w:sz w:val="16"/>
                <w:szCs w:val="16"/>
              </w:rPr>
              <w:t>.</w:t>
            </w:r>
          </w:p>
          <w:p w14:paraId="255DE05A" w14:textId="283D4E3D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764F4B" w:rsidRPr="005A2F5B" w:rsidRDefault="00764F4B" w:rsidP="00764F4B">
            <w:pPr>
              <w:autoSpaceDE w:val="0"/>
              <w:autoSpaceDN w:val="0"/>
              <w:adjustRightInd w:val="0"/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764F4B" w:rsidRPr="005A2F5B" w:rsidRDefault="00764F4B" w:rsidP="00764F4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64F4B" w:rsidRPr="005A2F5B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5A2F5B"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 w:rsidRPr="005A2F5B"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764F4B" w:rsidRPr="005A2F5B" w:rsidRDefault="00764F4B" w:rsidP="00764F4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764F4B" w:rsidRPr="005A2F5B" w:rsidRDefault="00764F4B" w:rsidP="00764F4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123BD037" w14:textId="77777777" w:rsidR="00500888" w:rsidRPr="005A2F5B" w:rsidRDefault="00500888" w:rsidP="00500888">
      <w:pPr>
        <w:rPr>
          <w:rFonts w:ascii="Calibri" w:hAnsi="Calibri" w:cs="Calibri"/>
          <w:sz w:val="16"/>
          <w:szCs w:val="16"/>
        </w:rPr>
      </w:pPr>
    </w:p>
    <w:p w14:paraId="7FCAFA0A" w14:textId="77777777" w:rsidR="00131F27" w:rsidRPr="005A2F5B" w:rsidRDefault="00131F27">
      <w:pPr>
        <w:rPr>
          <w:rFonts w:ascii="Calibri" w:hAnsi="Calibri" w:cs="Calibri"/>
          <w:sz w:val="16"/>
          <w:szCs w:val="16"/>
        </w:rPr>
      </w:pPr>
    </w:p>
    <w:sectPr w:rsidR="00131F27" w:rsidRPr="005A2F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A0114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33142E"/>
    <w:rsid w:val="003936B2"/>
    <w:rsid w:val="004076D1"/>
    <w:rsid w:val="00420578"/>
    <w:rsid w:val="00463824"/>
    <w:rsid w:val="00500888"/>
    <w:rsid w:val="00517C58"/>
    <w:rsid w:val="00564F3D"/>
    <w:rsid w:val="005A2F5B"/>
    <w:rsid w:val="005F6959"/>
    <w:rsid w:val="00616CCE"/>
    <w:rsid w:val="00641D5C"/>
    <w:rsid w:val="00714638"/>
    <w:rsid w:val="00764F4B"/>
    <w:rsid w:val="0087635C"/>
    <w:rsid w:val="00A160F8"/>
    <w:rsid w:val="00B17BA2"/>
    <w:rsid w:val="00B53689"/>
    <w:rsid w:val="00B630CA"/>
    <w:rsid w:val="00BC003C"/>
    <w:rsid w:val="00D32FD5"/>
    <w:rsid w:val="00DF049B"/>
    <w:rsid w:val="00E81F99"/>
    <w:rsid w:val="00EE65D7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  <w:style w:type="paragraph" w:styleId="Normlnywebov">
    <w:name w:val="Normal (Web)"/>
    <w:basedOn w:val="Normlny"/>
    <w:uiPriority w:val="99"/>
    <w:semiHidden/>
    <w:unhideWhenUsed/>
    <w:rsid w:val="004076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28</cp:revision>
  <dcterms:created xsi:type="dcterms:W3CDTF">2023-02-01T18:51:00Z</dcterms:created>
  <dcterms:modified xsi:type="dcterms:W3CDTF">2023-03-16T08:34:00Z</dcterms:modified>
</cp:coreProperties>
</file>